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37C5B6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7A2655">
        <w:rPr>
          <w:rFonts w:ascii="Azo Sans Md" w:hAnsi="Azo Sans Md" w:cstheme="minorHAnsi"/>
          <w:b/>
          <w:szCs w:val="24"/>
        </w:rPr>
        <w:t>170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57A54B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7A2655">
        <w:rPr>
          <w:rFonts w:ascii="Azo Sans Md" w:hAnsi="Azo Sans Md" w:cstheme="minorHAnsi"/>
          <w:b/>
          <w:szCs w:val="24"/>
        </w:rPr>
        <w:t>31.352/2025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26ADD40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07BBB">
        <w:rPr>
          <w:rFonts w:ascii="Azo Sans Lt" w:hAnsi="Azo Sans Lt" w:cstheme="minorHAnsi"/>
          <w:bCs/>
          <w:szCs w:val="24"/>
        </w:rPr>
        <w:t>GLOBAL</w:t>
      </w:r>
      <w:r w:rsidR="007A2655">
        <w:rPr>
          <w:rFonts w:ascii="Azo Sans Lt" w:hAnsi="Azo Sans Lt" w:cstheme="minorHAnsi"/>
          <w:bCs/>
          <w:szCs w:val="24"/>
        </w:rPr>
        <w:t xml:space="preserve"> POR LOTE</w:t>
      </w:r>
    </w:p>
    <w:p w14:paraId="7BAB6038" w14:textId="51F3F04C" w:rsidR="00495CE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A2655" w:rsidRPr="007A2655">
        <w:rPr>
          <w:rFonts w:ascii="Azo Sans Md" w:hAnsi="Azo Sans Md" w:cstheme="minorHAnsi"/>
          <w:b/>
          <w:szCs w:val="24"/>
        </w:rPr>
        <w:t xml:space="preserve">REGISTO DE PREÇOS para futura e eventual </w:t>
      </w:r>
      <w:bookmarkStart w:id="0" w:name="__DdeLink__668_3221334588"/>
      <w:r w:rsidR="007A2655" w:rsidRPr="007A2655">
        <w:rPr>
          <w:rFonts w:ascii="Azo Sans Md" w:hAnsi="Azo Sans Md" w:cstheme="minorHAnsi"/>
          <w:b/>
          <w:szCs w:val="24"/>
        </w:rPr>
        <w:t>CONTRATAÇÃO DE EMPRESA ESPECIALIZADA PARA O FORNECIMENTO PARCELADO DE UNIFORMES FUNCIONAIS (CAMISAS POLO E COLETES DE FISCALIZAÇÃO) DESTINADOS À GUARDA CIVIL MUNICIPAL E À SUBSECRETARIA DE POSTURAS DO MUNICÍPIO DE NOVA FRIBURGO/RJ, pelo período de 01 (um) ano</w:t>
      </w:r>
      <w:bookmarkEnd w:id="0"/>
      <w:r w:rsidR="0023649E" w:rsidRPr="00B84814">
        <w:rPr>
          <w:rFonts w:ascii="Azo Sans Md" w:hAnsi="Azo Sans Md" w:cstheme="minorHAnsi"/>
          <w:b/>
          <w:szCs w:val="24"/>
        </w:rPr>
        <w:t>.</w:t>
      </w:r>
    </w:p>
    <w:p w14:paraId="5CAF31E1" w14:textId="77777777" w:rsidR="00495CE0" w:rsidRDefault="00495CE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4790DD3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7A2655">
        <w:rPr>
          <w:rFonts w:ascii="Azo Sans Md" w:hAnsi="Azo Sans Md" w:cstheme="minorHAnsi"/>
          <w:b/>
        </w:rPr>
        <w:t>170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495CE0">
        <w:rPr>
          <w:rFonts w:ascii="Azo Sans Lt" w:hAnsi="Azo Sans Lt" w:cstheme="minorHAnsi"/>
          <w:sz w:val="22"/>
          <w:szCs w:val="22"/>
        </w:rPr>
        <w:t xml:space="preserve">o </w:t>
      </w:r>
      <w:r w:rsidR="007A2655" w:rsidRPr="007A2655">
        <w:rPr>
          <w:rFonts w:ascii="Azo Sans Md" w:hAnsi="Azo Sans Md" w:cstheme="minorHAnsi"/>
          <w:b/>
          <w:szCs w:val="24"/>
        </w:rPr>
        <w:t>REGISTO DE PREÇOS para futura e eventual CONTRATAÇÃO DE EMPRESA ESPECIALIZADA PARA O FORNECIMENTO PARCELADO DE UNIFORMES FUNCIONAIS (CAMISAS POLO E COLETES DE FISCALIZAÇÃO) DESTINADOS À GUARDA CIVIL MUNICIPAL E À SUBSECRETARIA DE POSTURAS DO MUNICÍPIO DE NOVA FRIBURGO/RJ,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313FB52" w14:textId="77777777" w:rsidR="007A2655" w:rsidRDefault="007A2655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</w:p>
    <w:tbl>
      <w:tblPr>
        <w:tblStyle w:val="Tabelacomgrade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62"/>
        <w:gridCol w:w="755"/>
        <w:gridCol w:w="1036"/>
        <w:gridCol w:w="3260"/>
        <w:gridCol w:w="850"/>
        <w:gridCol w:w="773"/>
        <w:gridCol w:w="1221"/>
        <w:gridCol w:w="922"/>
        <w:gridCol w:w="1337"/>
      </w:tblGrid>
      <w:tr w:rsidR="00EE54E2" w:rsidRPr="009314BC" w14:paraId="075FA3DB" w14:textId="77777777" w:rsidTr="00EE54E2">
        <w:trPr>
          <w:trHeight w:val="685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D8D8D8" w:themeFill="background1" w:themeFillShade="D8"/>
          </w:tcPr>
          <w:p w14:paraId="3E00AA32" w14:textId="77777777" w:rsidR="007A2655" w:rsidRPr="00EE54E2" w:rsidRDefault="007A2655" w:rsidP="00285DE5">
            <w:pPr>
              <w:jc w:val="center"/>
              <w:rPr>
                <w:rFonts w:cstheme="minorHAnsi"/>
                <w:b/>
                <w:sz w:val="18"/>
                <w:szCs w:val="14"/>
              </w:rPr>
            </w:pPr>
            <w:r w:rsidRPr="00EE54E2">
              <w:rPr>
                <w:rFonts w:cstheme="minorHAnsi"/>
                <w:b/>
                <w:sz w:val="18"/>
                <w:szCs w:val="14"/>
              </w:rPr>
              <w:t>LOTE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D8D8D8" w:themeFill="background1" w:themeFillShade="D8"/>
          </w:tcPr>
          <w:p w14:paraId="3A8E1A01" w14:textId="77777777" w:rsidR="007A2655" w:rsidRPr="00EE54E2" w:rsidRDefault="007A2655" w:rsidP="00285DE5">
            <w:pPr>
              <w:jc w:val="center"/>
              <w:rPr>
                <w:rFonts w:cstheme="minorHAnsi"/>
                <w:b/>
                <w:sz w:val="18"/>
                <w:szCs w:val="14"/>
              </w:rPr>
            </w:pPr>
            <w:r w:rsidRPr="00EE54E2">
              <w:rPr>
                <w:rFonts w:cstheme="minorHAnsi"/>
                <w:b/>
                <w:sz w:val="18"/>
                <w:szCs w:val="14"/>
              </w:rPr>
              <w:t>ITEM</w:t>
            </w:r>
          </w:p>
        </w:tc>
        <w:tc>
          <w:tcPr>
            <w:tcW w:w="1036" w:type="dxa"/>
            <w:tcBorders>
              <w:right w:val="single" w:sz="4" w:space="0" w:color="auto"/>
            </w:tcBorders>
            <w:shd w:val="clear" w:color="auto" w:fill="D8D8D8" w:themeFill="background1" w:themeFillShade="D8"/>
          </w:tcPr>
          <w:p w14:paraId="1646F6F8" w14:textId="77777777" w:rsidR="007A2655" w:rsidRPr="00EE54E2" w:rsidRDefault="007A2655" w:rsidP="00285DE5">
            <w:pPr>
              <w:jc w:val="center"/>
              <w:rPr>
                <w:rFonts w:cstheme="minorHAnsi"/>
                <w:b/>
                <w:sz w:val="18"/>
                <w:szCs w:val="14"/>
              </w:rPr>
            </w:pPr>
            <w:r w:rsidRPr="00EE54E2">
              <w:rPr>
                <w:rFonts w:cstheme="minorHAnsi"/>
                <w:b/>
                <w:sz w:val="18"/>
                <w:szCs w:val="14"/>
              </w:rPr>
              <w:t>CATMAT/</w:t>
            </w:r>
          </w:p>
          <w:p w14:paraId="78886A08" w14:textId="51CBE618" w:rsidR="007A2655" w:rsidRPr="00EE54E2" w:rsidRDefault="007A2655" w:rsidP="00285DE5">
            <w:pPr>
              <w:jc w:val="center"/>
              <w:rPr>
                <w:rFonts w:cstheme="minorHAnsi"/>
                <w:b/>
                <w:sz w:val="18"/>
                <w:szCs w:val="14"/>
              </w:rPr>
            </w:pPr>
            <w:r w:rsidRPr="00EE54E2">
              <w:rPr>
                <w:rFonts w:cstheme="minorHAnsi"/>
                <w:b/>
                <w:sz w:val="18"/>
                <w:szCs w:val="14"/>
              </w:rPr>
              <w:t>CATSER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2458B4A9" w14:textId="77777777" w:rsidR="007A2655" w:rsidRPr="00EE54E2" w:rsidRDefault="007A2655" w:rsidP="00285DE5">
            <w:pPr>
              <w:jc w:val="center"/>
              <w:rPr>
                <w:rFonts w:cstheme="minorHAnsi"/>
                <w:b/>
                <w:sz w:val="18"/>
                <w:szCs w:val="14"/>
              </w:rPr>
            </w:pPr>
            <w:r w:rsidRPr="00EE54E2">
              <w:rPr>
                <w:rFonts w:cstheme="minorHAnsi"/>
                <w:b/>
                <w:sz w:val="18"/>
                <w:szCs w:val="14"/>
              </w:rPr>
              <w:t>ESPECIFICAÇÃO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</w:tcPr>
          <w:p w14:paraId="7A1785B1" w14:textId="77777777" w:rsidR="007A2655" w:rsidRPr="00EE54E2" w:rsidRDefault="007A2655" w:rsidP="00285DE5">
            <w:pPr>
              <w:jc w:val="center"/>
              <w:rPr>
                <w:rFonts w:cstheme="minorHAnsi"/>
                <w:b/>
                <w:sz w:val="18"/>
                <w:szCs w:val="14"/>
              </w:rPr>
            </w:pPr>
            <w:r w:rsidRPr="00EE54E2">
              <w:rPr>
                <w:rFonts w:cstheme="minorHAnsi"/>
                <w:b/>
                <w:sz w:val="18"/>
                <w:szCs w:val="14"/>
              </w:rPr>
              <w:t>U/C</w:t>
            </w:r>
          </w:p>
        </w:tc>
        <w:tc>
          <w:tcPr>
            <w:tcW w:w="773" w:type="dxa"/>
            <w:tcBorders>
              <w:left w:val="single" w:sz="4" w:space="0" w:color="auto"/>
            </w:tcBorders>
            <w:shd w:val="clear" w:color="auto" w:fill="D8D8D8" w:themeFill="background1" w:themeFillShade="D8"/>
          </w:tcPr>
          <w:p w14:paraId="7370D062" w14:textId="77777777" w:rsidR="007A2655" w:rsidRPr="00EE54E2" w:rsidRDefault="007A2655" w:rsidP="00285DE5">
            <w:pPr>
              <w:jc w:val="center"/>
              <w:rPr>
                <w:rFonts w:cstheme="minorHAnsi"/>
                <w:b/>
                <w:sz w:val="18"/>
                <w:szCs w:val="14"/>
              </w:rPr>
            </w:pPr>
            <w:r w:rsidRPr="00EE54E2">
              <w:rPr>
                <w:rFonts w:cstheme="minorHAnsi"/>
                <w:b/>
                <w:sz w:val="18"/>
                <w:szCs w:val="14"/>
              </w:rPr>
              <w:t>QTDE</w:t>
            </w:r>
          </w:p>
        </w:tc>
        <w:tc>
          <w:tcPr>
            <w:tcW w:w="1221" w:type="dxa"/>
            <w:shd w:val="clear" w:color="auto" w:fill="D9D9D9" w:themeFill="background1" w:themeFillShade="D9"/>
          </w:tcPr>
          <w:p w14:paraId="49F72DD2" w14:textId="77777777" w:rsidR="007A2655" w:rsidRPr="00EE54E2" w:rsidRDefault="007A2655" w:rsidP="007A2655">
            <w:pPr>
              <w:ind w:left="0" w:hanging="9"/>
              <w:jc w:val="center"/>
              <w:rPr>
                <w:b/>
                <w:sz w:val="18"/>
                <w:szCs w:val="14"/>
              </w:rPr>
            </w:pPr>
            <w:r w:rsidRPr="00EE54E2">
              <w:rPr>
                <w:b/>
                <w:sz w:val="18"/>
                <w:szCs w:val="14"/>
              </w:rPr>
              <w:t>PREÇO UNITÁRIO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14:paraId="2AA5B29F" w14:textId="6FFA7CED" w:rsidR="007A2655" w:rsidRPr="00EE54E2" w:rsidRDefault="007A2655" w:rsidP="007A2655">
            <w:pPr>
              <w:ind w:left="17" w:hanging="141"/>
              <w:jc w:val="center"/>
              <w:rPr>
                <w:b/>
                <w:sz w:val="18"/>
                <w:szCs w:val="14"/>
              </w:rPr>
            </w:pPr>
            <w:r w:rsidRPr="00EE54E2">
              <w:rPr>
                <w:b/>
                <w:sz w:val="18"/>
                <w:szCs w:val="14"/>
              </w:rPr>
              <w:t xml:space="preserve">  PREÇO TOTAL</w:t>
            </w:r>
          </w:p>
        </w:tc>
        <w:tc>
          <w:tcPr>
            <w:tcW w:w="1337" w:type="dxa"/>
            <w:shd w:val="clear" w:color="auto" w:fill="D9D9D9" w:themeFill="background1" w:themeFillShade="D9"/>
          </w:tcPr>
          <w:p w14:paraId="31C255BB" w14:textId="77777777" w:rsidR="007A2655" w:rsidRPr="00EE54E2" w:rsidRDefault="007A2655" w:rsidP="007A2655">
            <w:pPr>
              <w:ind w:left="-38" w:right="470" w:firstLine="0"/>
              <w:jc w:val="center"/>
              <w:rPr>
                <w:b/>
                <w:sz w:val="18"/>
                <w:szCs w:val="14"/>
              </w:rPr>
            </w:pPr>
            <w:r w:rsidRPr="00EE54E2">
              <w:rPr>
                <w:b/>
                <w:sz w:val="18"/>
                <w:szCs w:val="14"/>
              </w:rPr>
              <w:t>PREÇO TOTAL POR LOTE</w:t>
            </w:r>
          </w:p>
        </w:tc>
      </w:tr>
      <w:tr w:rsidR="00EE54E2" w14:paraId="0C92E27D" w14:textId="77777777" w:rsidTr="00EE54E2">
        <w:trPr>
          <w:trHeight w:val="700"/>
        </w:trPr>
        <w:tc>
          <w:tcPr>
            <w:tcW w:w="762" w:type="dxa"/>
            <w:vMerge w:val="restart"/>
          </w:tcPr>
          <w:p w14:paraId="7B1DAF85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3CE36C8A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7BC7C145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394E7DC9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133C5C77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0DB40FE9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4FD3067B" w14:textId="77777777" w:rsidR="007A2655" w:rsidRDefault="007A2655" w:rsidP="00285DE5">
            <w:pPr>
              <w:rPr>
                <w:rFonts w:cstheme="minorHAnsi"/>
                <w:b/>
                <w:bCs/>
                <w:szCs w:val="32"/>
              </w:rPr>
            </w:pPr>
          </w:p>
          <w:p w14:paraId="6DAC764C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0C4324BE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01</w:t>
            </w:r>
          </w:p>
        </w:tc>
        <w:tc>
          <w:tcPr>
            <w:tcW w:w="755" w:type="dxa"/>
            <w:vAlign w:val="center"/>
          </w:tcPr>
          <w:p w14:paraId="06E54C7E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01</w:t>
            </w:r>
          </w:p>
        </w:tc>
        <w:tc>
          <w:tcPr>
            <w:tcW w:w="1036" w:type="dxa"/>
            <w:vAlign w:val="center"/>
          </w:tcPr>
          <w:p w14:paraId="25B42B7B" w14:textId="77777777" w:rsidR="007A2655" w:rsidRPr="00282E85" w:rsidRDefault="007A2655" w:rsidP="00285DE5">
            <w:pPr>
              <w:jc w:val="center"/>
              <w:rPr>
                <w:rFonts w:cstheme="minorHAnsi"/>
                <w:sz w:val="20"/>
                <w:highlight w:val="yellow"/>
              </w:rPr>
            </w:pPr>
            <w:r>
              <w:t>261800</w:t>
            </w:r>
          </w:p>
        </w:tc>
        <w:tc>
          <w:tcPr>
            <w:tcW w:w="3260" w:type="dxa"/>
            <w:vAlign w:val="center"/>
          </w:tcPr>
          <w:p w14:paraId="0BF4DFE2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>Camisa gola polo azul marinho, manga curta, personalizada com bordados (bandeira do Brasil no lado direito d</w:t>
            </w:r>
            <w:r>
              <w:rPr>
                <w:rFonts w:cstheme="minorHAnsi"/>
                <w:sz w:val="20"/>
              </w:rPr>
              <w:t>a manga</w:t>
            </w:r>
            <w:r w:rsidRPr="00F70ABF">
              <w:rPr>
                <w:rFonts w:cstheme="minorHAnsi"/>
                <w:sz w:val="20"/>
              </w:rPr>
              <w:t xml:space="preserve">; bandeira de Nova Friburgo </w:t>
            </w:r>
            <w:r w:rsidRPr="00754009">
              <w:rPr>
                <w:rFonts w:cstheme="minorHAnsi"/>
                <w:sz w:val="20"/>
              </w:rPr>
              <w:t>no lado esquerdo da manga, no formato retangular com três faixas verticais (preta, branca e azul) e brasão municipal centralizado</w:t>
            </w:r>
            <w:r w:rsidRPr="00F70ABF">
              <w:rPr>
                <w:rFonts w:cstheme="minorHAnsi"/>
                <w:sz w:val="20"/>
              </w:rPr>
              <w:t>; logo da Prefeitura de Nova Friburgo no lado direito</w:t>
            </w:r>
            <w:r>
              <w:rPr>
                <w:rFonts w:cstheme="minorHAnsi"/>
                <w:sz w:val="20"/>
              </w:rPr>
              <w:t xml:space="preserve"> do peito</w:t>
            </w:r>
            <w:r w:rsidRPr="00F70ABF">
              <w:rPr>
                <w:rFonts w:cstheme="minorHAnsi"/>
                <w:sz w:val="20"/>
              </w:rPr>
              <w:t>, com inscrições “NOVA FRIBURGO” e, abaixo, “Prefeitura”; e, no lado esquerdo</w:t>
            </w:r>
            <w:r>
              <w:rPr>
                <w:rFonts w:cstheme="minorHAnsi"/>
                <w:sz w:val="20"/>
              </w:rPr>
              <w:t xml:space="preserve"> do peito</w:t>
            </w:r>
            <w:r w:rsidRPr="00F70ABF">
              <w:rPr>
                <w:rFonts w:cstheme="minorHAnsi"/>
                <w:sz w:val="20"/>
              </w:rPr>
              <w:t>, em 4 linhas, “Secretaria de Segurança e Ordem Pública”). Confeccionada em tecido de alta qualidade, preferencialmente algodão penteado com tratamento antimicrobiano ou tecido tecnológico que minimize odor e suor. Tamanho M</w:t>
            </w:r>
            <w:r>
              <w:rPr>
                <w:rFonts w:cstheme="minorHAnsi"/>
                <w:sz w:val="20"/>
              </w:rPr>
              <w:t xml:space="preserve">, </w:t>
            </w:r>
            <w:r w:rsidRPr="00641519">
              <w:rPr>
                <w:rFonts w:cstheme="minorHAnsi"/>
                <w:sz w:val="20"/>
              </w:rPr>
              <w:t xml:space="preserve">conforme layout ilustrativo anexo, de observância obrigatória, sendo vedadas alterações de cores, </w:t>
            </w:r>
            <w:r w:rsidRPr="00641519">
              <w:rPr>
                <w:rFonts w:cstheme="minorHAnsi"/>
                <w:sz w:val="20"/>
              </w:rPr>
              <w:lastRenderedPageBreak/>
              <w:t>proporções, posicionamento ou tipografia</w:t>
            </w:r>
            <w:r w:rsidRPr="00752644">
              <w:rPr>
                <w:rFonts w:cstheme="minorHAnsi"/>
                <w:sz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4C3D9E8B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unidade</w:t>
            </w:r>
          </w:p>
        </w:tc>
        <w:tc>
          <w:tcPr>
            <w:tcW w:w="773" w:type="dxa"/>
            <w:vAlign w:val="center"/>
          </w:tcPr>
          <w:p w14:paraId="72F8123C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10</w:t>
            </w:r>
          </w:p>
        </w:tc>
        <w:tc>
          <w:tcPr>
            <w:tcW w:w="1221" w:type="dxa"/>
            <w:vAlign w:val="center"/>
          </w:tcPr>
          <w:p w14:paraId="31E07C89" w14:textId="327A8DB6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0C166D9D" w14:textId="46868A75" w:rsidR="007A2655" w:rsidRDefault="007A2655" w:rsidP="00285DE5">
            <w:pPr>
              <w:jc w:val="center"/>
            </w:pPr>
          </w:p>
        </w:tc>
        <w:tc>
          <w:tcPr>
            <w:tcW w:w="1337" w:type="dxa"/>
            <w:vMerge w:val="restart"/>
          </w:tcPr>
          <w:p w14:paraId="5377CB58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35C0C85C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3FD33FA6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263D8F0F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22A5FE6E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551E7C7B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0D9A4F35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73DD5388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607F3EA3" w14:textId="50AC9106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</w:tc>
      </w:tr>
      <w:tr w:rsidR="00EE54E2" w14:paraId="363ACC42" w14:textId="77777777" w:rsidTr="00EE54E2">
        <w:trPr>
          <w:trHeight w:val="411"/>
        </w:trPr>
        <w:tc>
          <w:tcPr>
            <w:tcW w:w="762" w:type="dxa"/>
            <w:vMerge/>
          </w:tcPr>
          <w:p w14:paraId="7A077EC4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0C972F99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02</w:t>
            </w:r>
          </w:p>
        </w:tc>
        <w:tc>
          <w:tcPr>
            <w:tcW w:w="1036" w:type="dxa"/>
            <w:vAlign w:val="center"/>
          </w:tcPr>
          <w:p w14:paraId="1F09C6F1" w14:textId="77777777" w:rsidR="007A2655" w:rsidRPr="00282E85" w:rsidRDefault="007A2655" w:rsidP="00285DE5">
            <w:pPr>
              <w:jc w:val="center"/>
              <w:rPr>
                <w:rFonts w:cstheme="minorHAnsi"/>
                <w:sz w:val="20"/>
                <w:highlight w:val="yellow"/>
              </w:rPr>
            </w:pPr>
            <w:r>
              <w:t>261800</w:t>
            </w:r>
          </w:p>
        </w:tc>
        <w:tc>
          <w:tcPr>
            <w:tcW w:w="3260" w:type="dxa"/>
            <w:vAlign w:val="center"/>
          </w:tcPr>
          <w:p w14:paraId="5521D488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 xml:space="preserve">Idem ao item 01,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>tamanho G.</w:t>
            </w:r>
          </w:p>
        </w:tc>
        <w:tc>
          <w:tcPr>
            <w:tcW w:w="850" w:type="dxa"/>
            <w:vAlign w:val="center"/>
          </w:tcPr>
          <w:p w14:paraId="0DE33C1A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61856AFD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10</w:t>
            </w:r>
          </w:p>
        </w:tc>
        <w:tc>
          <w:tcPr>
            <w:tcW w:w="1221" w:type="dxa"/>
            <w:vAlign w:val="center"/>
          </w:tcPr>
          <w:p w14:paraId="566658EE" w14:textId="39C5224D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2F6E8751" w14:textId="229B457A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3E49F4A2" w14:textId="77777777" w:rsidR="007A2655" w:rsidRDefault="007A2655" w:rsidP="00285DE5">
            <w:pPr>
              <w:jc w:val="center"/>
            </w:pPr>
          </w:p>
        </w:tc>
      </w:tr>
      <w:tr w:rsidR="00EE54E2" w14:paraId="34D730C2" w14:textId="77777777" w:rsidTr="00EE54E2">
        <w:trPr>
          <w:trHeight w:val="418"/>
        </w:trPr>
        <w:tc>
          <w:tcPr>
            <w:tcW w:w="762" w:type="dxa"/>
            <w:vMerge/>
          </w:tcPr>
          <w:p w14:paraId="08BADEEA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04066FCF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03</w:t>
            </w:r>
          </w:p>
        </w:tc>
        <w:tc>
          <w:tcPr>
            <w:tcW w:w="1036" w:type="dxa"/>
            <w:vAlign w:val="center"/>
          </w:tcPr>
          <w:p w14:paraId="05FBFF8A" w14:textId="77777777" w:rsidR="007A2655" w:rsidRPr="00282E85" w:rsidRDefault="007A2655" w:rsidP="00285DE5">
            <w:pPr>
              <w:jc w:val="center"/>
              <w:rPr>
                <w:rFonts w:cstheme="minorHAnsi"/>
                <w:sz w:val="20"/>
                <w:highlight w:val="yellow"/>
              </w:rPr>
            </w:pPr>
            <w:r>
              <w:t>261800</w:t>
            </w:r>
          </w:p>
        </w:tc>
        <w:tc>
          <w:tcPr>
            <w:tcW w:w="3260" w:type="dxa"/>
            <w:vAlign w:val="center"/>
          </w:tcPr>
          <w:p w14:paraId="2F871279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 xml:space="preserve">Idem ao item 01,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>tamanho G</w:t>
            </w:r>
            <w:r>
              <w:rPr>
                <w:rFonts w:cstheme="minorHAnsi"/>
                <w:sz w:val="20"/>
              </w:rPr>
              <w:t>G.</w:t>
            </w:r>
          </w:p>
        </w:tc>
        <w:tc>
          <w:tcPr>
            <w:tcW w:w="850" w:type="dxa"/>
            <w:vAlign w:val="center"/>
          </w:tcPr>
          <w:p w14:paraId="6BDC6E6B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0284DD23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16</w:t>
            </w:r>
          </w:p>
        </w:tc>
        <w:tc>
          <w:tcPr>
            <w:tcW w:w="1221" w:type="dxa"/>
            <w:vAlign w:val="center"/>
          </w:tcPr>
          <w:p w14:paraId="3E24284F" w14:textId="5522EBAA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0C2B3912" w14:textId="5AC1BAAA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71390DE6" w14:textId="77777777" w:rsidR="007A2655" w:rsidRDefault="007A2655" w:rsidP="00285DE5">
            <w:pPr>
              <w:jc w:val="center"/>
            </w:pPr>
          </w:p>
        </w:tc>
      </w:tr>
      <w:tr w:rsidR="00EE54E2" w14:paraId="113A3CF6" w14:textId="77777777" w:rsidTr="00EE54E2">
        <w:trPr>
          <w:trHeight w:val="409"/>
        </w:trPr>
        <w:tc>
          <w:tcPr>
            <w:tcW w:w="762" w:type="dxa"/>
            <w:vMerge/>
          </w:tcPr>
          <w:p w14:paraId="3E765439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5C89EF10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04</w:t>
            </w:r>
          </w:p>
        </w:tc>
        <w:tc>
          <w:tcPr>
            <w:tcW w:w="1036" w:type="dxa"/>
            <w:vAlign w:val="center"/>
          </w:tcPr>
          <w:p w14:paraId="32A52948" w14:textId="77777777" w:rsidR="007A2655" w:rsidRPr="00282E85" w:rsidRDefault="007A2655" w:rsidP="00285DE5">
            <w:pPr>
              <w:jc w:val="center"/>
              <w:rPr>
                <w:rFonts w:cstheme="minorHAnsi"/>
                <w:sz w:val="20"/>
                <w:highlight w:val="yellow"/>
              </w:rPr>
            </w:pPr>
            <w:r>
              <w:t>261800</w:t>
            </w:r>
          </w:p>
        </w:tc>
        <w:tc>
          <w:tcPr>
            <w:tcW w:w="3260" w:type="dxa"/>
            <w:vAlign w:val="center"/>
          </w:tcPr>
          <w:p w14:paraId="052D7B4A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>Idem ao item 01,</w:t>
            </w:r>
            <w:r>
              <w:rPr>
                <w:rFonts w:cstheme="minorHAnsi"/>
                <w:sz w:val="20"/>
              </w:rPr>
              <w:t xml:space="preserve"> mas</w:t>
            </w:r>
            <w:r w:rsidRPr="00F70ABF">
              <w:rPr>
                <w:rFonts w:cstheme="minorHAnsi"/>
                <w:sz w:val="20"/>
              </w:rPr>
              <w:t xml:space="preserve"> tamanho </w:t>
            </w:r>
            <w:r>
              <w:rPr>
                <w:rFonts w:cstheme="minorHAnsi"/>
                <w:sz w:val="20"/>
              </w:rPr>
              <w:t>XG.</w:t>
            </w:r>
          </w:p>
        </w:tc>
        <w:tc>
          <w:tcPr>
            <w:tcW w:w="850" w:type="dxa"/>
            <w:vAlign w:val="center"/>
          </w:tcPr>
          <w:p w14:paraId="3CDF67FA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61A4AE18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</w:p>
        </w:tc>
        <w:tc>
          <w:tcPr>
            <w:tcW w:w="1221" w:type="dxa"/>
            <w:vAlign w:val="center"/>
          </w:tcPr>
          <w:p w14:paraId="05B7CB7A" w14:textId="202B4826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7705CB5A" w14:textId="37B7C5C8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34573934" w14:textId="77777777" w:rsidR="007A2655" w:rsidRDefault="007A2655" w:rsidP="00285DE5">
            <w:pPr>
              <w:jc w:val="center"/>
            </w:pPr>
          </w:p>
        </w:tc>
      </w:tr>
      <w:tr w:rsidR="00EE54E2" w14:paraId="11A94657" w14:textId="77777777" w:rsidTr="00EE54E2">
        <w:trPr>
          <w:trHeight w:val="415"/>
        </w:trPr>
        <w:tc>
          <w:tcPr>
            <w:tcW w:w="762" w:type="dxa"/>
            <w:vMerge/>
          </w:tcPr>
          <w:p w14:paraId="02415E45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20CA39B0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05</w:t>
            </w:r>
          </w:p>
        </w:tc>
        <w:tc>
          <w:tcPr>
            <w:tcW w:w="1036" w:type="dxa"/>
            <w:vAlign w:val="center"/>
          </w:tcPr>
          <w:p w14:paraId="0913C665" w14:textId="77777777" w:rsidR="007A2655" w:rsidRPr="00282E85" w:rsidRDefault="007A2655" w:rsidP="00285DE5">
            <w:pPr>
              <w:jc w:val="center"/>
              <w:rPr>
                <w:rFonts w:cstheme="minorHAnsi"/>
                <w:sz w:val="20"/>
                <w:highlight w:val="yellow"/>
              </w:rPr>
            </w:pPr>
            <w:r>
              <w:t>261800</w:t>
            </w:r>
          </w:p>
        </w:tc>
        <w:tc>
          <w:tcPr>
            <w:tcW w:w="3260" w:type="dxa"/>
            <w:vAlign w:val="center"/>
          </w:tcPr>
          <w:p w14:paraId="56AED6AC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 xml:space="preserve">Idem ao item 01,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 xml:space="preserve">tamanho </w:t>
            </w:r>
            <w:r>
              <w:rPr>
                <w:rFonts w:cstheme="minorHAnsi"/>
                <w:sz w:val="20"/>
              </w:rPr>
              <w:t>XXG.</w:t>
            </w:r>
          </w:p>
        </w:tc>
        <w:tc>
          <w:tcPr>
            <w:tcW w:w="850" w:type="dxa"/>
            <w:vAlign w:val="center"/>
          </w:tcPr>
          <w:p w14:paraId="0C6E775A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04E57CA2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6</w:t>
            </w:r>
          </w:p>
        </w:tc>
        <w:tc>
          <w:tcPr>
            <w:tcW w:w="1221" w:type="dxa"/>
            <w:vAlign w:val="center"/>
          </w:tcPr>
          <w:p w14:paraId="72EB0A85" w14:textId="1CB67480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3DFF8EF2" w14:textId="377BA003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101BB2DB" w14:textId="77777777" w:rsidR="007A2655" w:rsidRDefault="007A2655" w:rsidP="00285DE5">
            <w:pPr>
              <w:jc w:val="center"/>
            </w:pPr>
          </w:p>
        </w:tc>
      </w:tr>
      <w:tr w:rsidR="00EE54E2" w14:paraId="1CACAB55" w14:textId="77777777" w:rsidTr="00EE54E2">
        <w:trPr>
          <w:trHeight w:val="2750"/>
        </w:trPr>
        <w:tc>
          <w:tcPr>
            <w:tcW w:w="762" w:type="dxa"/>
            <w:vMerge/>
          </w:tcPr>
          <w:p w14:paraId="25FC35B9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57A5C3EF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06</w:t>
            </w:r>
          </w:p>
        </w:tc>
        <w:tc>
          <w:tcPr>
            <w:tcW w:w="1036" w:type="dxa"/>
            <w:vAlign w:val="center"/>
          </w:tcPr>
          <w:p w14:paraId="0D5A9DD7" w14:textId="77777777" w:rsidR="007A2655" w:rsidRDefault="007A2655" w:rsidP="00285DE5">
            <w:pPr>
              <w:jc w:val="center"/>
            </w:pPr>
            <w:r>
              <w:t>261800</w:t>
            </w:r>
          </w:p>
        </w:tc>
        <w:tc>
          <w:tcPr>
            <w:tcW w:w="3260" w:type="dxa"/>
            <w:vAlign w:val="center"/>
          </w:tcPr>
          <w:p w14:paraId="6865F7CD" w14:textId="77777777" w:rsidR="007A2655" w:rsidRPr="00F70ABF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0639F6">
              <w:rPr>
                <w:rFonts w:cstheme="minorHAnsi"/>
                <w:sz w:val="20"/>
              </w:rPr>
              <w:t>Reserva técnica de camisas gola polo azul marinho, personalizadas conforme itens 01 a 05, equivalente a 20% do total contratado para este grupo (9 unidades), sem definição prévia de tamanhos, sendo a distribuição efetuada conforme necessidade da Administração, para reposição ou atendimento de novas demandas durante a vigência contratual.</w:t>
            </w:r>
          </w:p>
        </w:tc>
        <w:tc>
          <w:tcPr>
            <w:tcW w:w="850" w:type="dxa"/>
            <w:vAlign w:val="center"/>
          </w:tcPr>
          <w:p w14:paraId="2AE0643E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7D726028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9</w:t>
            </w:r>
          </w:p>
        </w:tc>
        <w:tc>
          <w:tcPr>
            <w:tcW w:w="1221" w:type="dxa"/>
            <w:vAlign w:val="center"/>
          </w:tcPr>
          <w:p w14:paraId="27DFE33B" w14:textId="7CD590B2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531D1C49" w14:textId="1EA00B13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1ED2EBCC" w14:textId="77777777" w:rsidR="007A2655" w:rsidRDefault="007A2655" w:rsidP="00285DE5">
            <w:pPr>
              <w:jc w:val="center"/>
            </w:pPr>
          </w:p>
        </w:tc>
      </w:tr>
      <w:tr w:rsidR="00EE54E2" w14:paraId="3A80BBA2" w14:textId="77777777" w:rsidTr="00EE54E2">
        <w:trPr>
          <w:trHeight w:val="1470"/>
        </w:trPr>
        <w:tc>
          <w:tcPr>
            <w:tcW w:w="762" w:type="dxa"/>
            <w:vMerge w:val="restart"/>
          </w:tcPr>
          <w:p w14:paraId="27359487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4D8FBECE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1E97D4C8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41CABE5E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19F60174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0DA288CC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2F66C2CB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144BA091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345BA4B5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3ACA78EA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048D7597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41E4C765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00C2479C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3841DDF3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51EC888C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7A3F3CEC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6711104F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14AB9A2B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16461394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1969D1D6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  <w:p w14:paraId="0BA3B3A5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02</w:t>
            </w:r>
          </w:p>
        </w:tc>
        <w:tc>
          <w:tcPr>
            <w:tcW w:w="755" w:type="dxa"/>
            <w:vAlign w:val="center"/>
          </w:tcPr>
          <w:p w14:paraId="222F7D8F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07</w:t>
            </w:r>
          </w:p>
        </w:tc>
        <w:tc>
          <w:tcPr>
            <w:tcW w:w="1036" w:type="dxa"/>
            <w:vAlign w:val="center"/>
          </w:tcPr>
          <w:p w14:paraId="12F0AEC5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366D6A8C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752644">
              <w:rPr>
                <w:rFonts w:cstheme="minorHAnsi"/>
                <w:sz w:val="20"/>
              </w:rPr>
              <w:t>Colete de identificação personalizado, confeccionado em tecido leve e resistente (ex: poliéster), com faixas horizontais distribuídas da seguinte forma: faixa azul-marinho na parte inferior e superior, faixa branca central e, abaixo desta, faixa cinza em material refletivo, para garantir visibilidade em ambientes com pouca luz. Possui dois bolsos superiores com fechamento em zíper. Acima dos bolsos</w:t>
            </w:r>
            <w:r>
              <w:rPr>
                <w:rFonts w:cstheme="minorHAnsi"/>
                <w:sz w:val="20"/>
              </w:rPr>
              <w:t xml:space="preserve"> superiores</w:t>
            </w:r>
            <w:r w:rsidRPr="00752644">
              <w:rPr>
                <w:rFonts w:cstheme="minorHAnsi"/>
                <w:sz w:val="20"/>
              </w:rPr>
              <w:t>, área com velcro para fixação de tarjetas personalizadas, sendo: lado direito: tarjeta com o cargo funcional; lado esquerdo: tarjeta com o nome e fator sanguíneo</w:t>
            </w:r>
            <w:r>
              <w:rPr>
                <w:rFonts w:cstheme="minorHAnsi"/>
                <w:sz w:val="20"/>
              </w:rPr>
              <w:t xml:space="preserve">. </w:t>
            </w:r>
            <w:r w:rsidRPr="00754009">
              <w:rPr>
                <w:rFonts w:cstheme="minorHAnsi"/>
                <w:sz w:val="20"/>
              </w:rPr>
              <w:t>A tarjeta deverá ter fundo preto, nome em letras maiúsculas brancas e fator sanguíneo em vermelho</w:t>
            </w:r>
            <w:r w:rsidRPr="00752644">
              <w:rPr>
                <w:rFonts w:cstheme="minorHAnsi"/>
                <w:sz w:val="20"/>
              </w:rPr>
              <w:t>. Conta ainda com dois bolsos inferiores com lapela. Na parte frontal: no bolso do lado direito (altura do peito), brasão de Nova Friburgo com a inscrição “NOVA FRIBURGO”; no bolso do lado esquerdo, a identificação “SECRETARIA DE SEGURANÇA E ORDEM PÚBLICA”. Na parte traseira, aplicação contendo: identificação “CENTRAL DE MONITORAMENTO CIDADE INTELIGENTE”, símbolo estilizado, inscrição “CIDADE INTELIGENTE”, “NOVA FRIBURGO” e, na parte inferior, “SECRETARIA DE SEGURANÇA E ORDEM PÚBLICA”</w:t>
            </w:r>
            <w:r>
              <w:rPr>
                <w:rFonts w:cstheme="minorHAnsi"/>
                <w:sz w:val="20"/>
              </w:rPr>
              <w:t xml:space="preserve">, </w:t>
            </w:r>
            <w:r w:rsidRPr="00641519">
              <w:rPr>
                <w:rFonts w:cstheme="minorHAnsi"/>
                <w:sz w:val="20"/>
              </w:rPr>
              <w:t xml:space="preserve">conforme </w:t>
            </w:r>
            <w:r w:rsidRPr="00641519">
              <w:rPr>
                <w:rFonts w:cstheme="minorHAnsi"/>
                <w:sz w:val="20"/>
              </w:rPr>
              <w:lastRenderedPageBreak/>
              <w:t>layout ilustrativo anexo, de observância obrigatória, sendo vedadas alterações de cores, proporções, posicionamento ou tipografia</w:t>
            </w:r>
            <w:r>
              <w:rPr>
                <w:rFonts w:cstheme="minorHAnsi"/>
                <w:sz w:val="20"/>
              </w:rPr>
              <w:t>, tamanho M.</w:t>
            </w:r>
          </w:p>
        </w:tc>
        <w:tc>
          <w:tcPr>
            <w:tcW w:w="850" w:type="dxa"/>
            <w:vAlign w:val="center"/>
          </w:tcPr>
          <w:p w14:paraId="1E9D526E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unidade</w:t>
            </w:r>
          </w:p>
        </w:tc>
        <w:tc>
          <w:tcPr>
            <w:tcW w:w="773" w:type="dxa"/>
            <w:vAlign w:val="center"/>
          </w:tcPr>
          <w:p w14:paraId="14700A13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</w:p>
        </w:tc>
        <w:tc>
          <w:tcPr>
            <w:tcW w:w="1221" w:type="dxa"/>
            <w:vAlign w:val="center"/>
          </w:tcPr>
          <w:p w14:paraId="293F32A7" w14:textId="794BF758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7886E989" w14:textId="281CF0BB" w:rsidR="007A2655" w:rsidRDefault="007A2655" w:rsidP="00285DE5">
            <w:pPr>
              <w:jc w:val="center"/>
            </w:pPr>
          </w:p>
        </w:tc>
        <w:tc>
          <w:tcPr>
            <w:tcW w:w="1337" w:type="dxa"/>
            <w:vMerge w:val="restart"/>
          </w:tcPr>
          <w:p w14:paraId="6ABA27CD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0295C735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4707E6AA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1528DA42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5B49DFEE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3C209204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488E7427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1C0AC7B3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649BD519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494B0D54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5F4B22E9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608724DA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3B9DA1BA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295230F1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512C5542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2CCF984C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331274DA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66198F7B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7DA25C0A" w14:textId="77777777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  <w:p w14:paraId="58B1DD39" w14:textId="38B14D22" w:rsidR="007A2655" w:rsidRPr="007B22F5" w:rsidRDefault="007A2655" w:rsidP="00285DE5">
            <w:pPr>
              <w:jc w:val="center"/>
              <w:rPr>
                <w:b/>
                <w:bCs/>
              </w:rPr>
            </w:pPr>
          </w:p>
        </w:tc>
      </w:tr>
      <w:tr w:rsidR="00EE54E2" w14:paraId="0BACFB47" w14:textId="77777777" w:rsidTr="00EE54E2">
        <w:trPr>
          <w:trHeight w:val="409"/>
        </w:trPr>
        <w:tc>
          <w:tcPr>
            <w:tcW w:w="762" w:type="dxa"/>
            <w:vMerge/>
          </w:tcPr>
          <w:p w14:paraId="77AB0D37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7826EF3D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08</w:t>
            </w:r>
          </w:p>
        </w:tc>
        <w:tc>
          <w:tcPr>
            <w:tcW w:w="1036" w:type="dxa"/>
            <w:vAlign w:val="center"/>
          </w:tcPr>
          <w:p w14:paraId="08B4E589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1ED65B50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>Idem ao item 0</w:t>
            </w:r>
            <w:r>
              <w:rPr>
                <w:rFonts w:cstheme="minorHAnsi"/>
                <w:sz w:val="20"/>
              </w:rPr>
              <w:t>7</w:t>
            </w:r>
            <w:r w:rsidRPr="00F70ABF">
              <w:rPr>
                <w:rFonts w:cstheme="minorHAnsi"/>
                <w:sz w:val="20"/>
              </w:rPr>
              <w:t xml:space="preserve">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>tamanho G.</w:t>
            </w:r>
          </w:p>
        </w:tc>
        <w:tc>
          <w:tcPr>
            <w:tcW w:w="850" w:type="dxa"/>
            <w:vAlign w:val="center"/>
          </w:tcPr>
          <w:p w14:paraId="2079DBCA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7DF1920C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1221" w:type="dxa"/>
            <w:vAlign w:val="center"/>
          </w:tcPr>
          <w:p w14:paraId="377CC302" w14:textId="6F4144FA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4851E5E3" w14:textId="725CDAC2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08ED1E38" w14:textId="77777777" w:rsidR="007A2655" w:rsidRDefault="007A2655" w:rsidP="00285DE5">
            <w:pPr>
              <w:jc w:val="center"/>
            </w:pPr>
          </w:p>
        </w:tc>
      </w:tr>
      <w:tr w:rsidR="00EE54E2" w14:paraId="7CB039F6" w14:textId="77777777" w:rsidTr="00EE54E2">
        <w:trPr>
          <w:trHeight w:val="429"/>
        </w:trPr>
        <w:tc>
          <w:tcPr>
            <w:tcW w:w="762" w:type="dxa"/>
            <w:vMerge/>
          </w:tcPr>
          <w:p w14:paraId="0630775D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0C5FD07A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09</w:t>
            </w:r>
          </w:p>
        </w:tc>
        <w:tc>
          <w:tcPr>
            <w:tcW w:w="1036" w:type="dxa"/>
            <w:vAlign w:val="center"/>
          </w:tcPr>
          <w:p w14:paraId="52CD99CF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34926A99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>Idem ao item 0</w:t>
            </w:r>
            <w:r>
              <w:rPr>
                <w:rFonts w:cstheme="minorHAnsi"/>
                <w:sz w:val="20"/>
              </w:rPr>
              <w:t>7</w:t>
            </w:r>
            <w:r w:rsidRPr="00F70ABF">
              <w:rPr>
                <w:rFonts w:cstheme="minorHAnsi"/>
                <w:sz w:val="20"/>
              </w:rPr>
              <w:t xml:space="preserve">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 xml:space="preserve">tamanho </w:t>
            </w:r>
            <w:r>
              <w:rPr>
                <w:rFonts w:cstheme="minorHAnsi"/>
                <w:sz w:val="20"/>
              </w:rPr>
              <w:t>GG.</w:t>
            </w:r>
          </w:p>
        </w:tc>
        <w:tc>
          <w:tcPr>
            <w:tcW w:w="850" w:type="dxa"/>
          </w:tcPr>
          <w:p w14:paraId="70104599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 w:rsidRPr="00C53B0A"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3B4AEC81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</w:p>
        </w:tc>
        <w:tc>
          <w:tcPr>
            <w:tcW w:w="1221" w:type="dxa"/>
            <w:vAlign w:val="center"/>
          </w:tcPr>
          <w:p w14:paraId="445FD652" w14:textId="3CB67700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2BADF03E" w14:textId="36001871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4AE635F1" w14:textId="77777777" w:rsidR="007A2655" w:rsidRDefault="007A2655" w:rsidP="00285DE5">
            <w:pPr>
              <w:jc w:val="center"/>
            </w:pPr>
          </w:p>
        </w:tc>
      </w:tr>
      <w:tr w:rsidR="00EE54E2" w14:paraId="0D648AC8" w14:textId="77777777" w:rsidTr="00EE54E2">
        <w:trPr>
          <w:trHeight w:val="408"/>
        </w:trPr>
        <w:tc>
          <w:tcPr>
            <w:tcW w:w="762" w:type="dxa"/>
            <w:vMerge/>
          </w:tcPr>
          <w:p w14:paraId="0FAC834A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6835572B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10</w:t>
            </w:r>
          </w:p>
        </w:tc>
        <w:tc>
          <w:tcPr>
            <w:tcW w:w="1036" w:type="dxa"/>
            <w:vAlign w:val="center"/>
          </w:tcPr>
          <w:p w14:paraId="615DE9AE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6ADAA8FA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>Idem ao item 0</w:t>
            </w:r>
            <w:r>
              <w:rPr>
                <w:rFonts w:cstheme="minorHAnsi"/>
                <w:sz w:val="20"/>
              </w:rPr>
              <w:t>7</w:t>
            </w:r>
            <w:r w:rsidRPr="00F70ABF">
              <w:rPr>
                <w:rFonts w:cstheme="minorHAnsi"/>
                <w:sz w:val="20"/>
              </w:rPr>
              <w:t xml:space="preserve">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 xml:space="preserve">tamanho </w:t>
            </w:r>
            <w:r>
              <w:rPr>
                <w:rFonts w:cstheme="minorHAnsi"/>
                <w:sz w:val="20"/>
              </w:rPr>
              <w:t>XG.</w:t>
            </w:r>
          </w:p>
        </w:tc>
        <w:tc>
          <w:tcPr>
            <w:tcW w:w="850" w:type="dxa"/>
          </w:tcPr>
          <w:p w14:paraId="619166D2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 w:rsidRPr="00C53B0A"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222264A0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1221" w:type="dxa"/>
            <w:vAlign w:val="center"/>
          </w:tcPr>
          <w:p w14:paraId="1C7B1BE7" w14:textId="00157A53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39EA3539" w14:textId="3F000D92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6908B069" w14:textId="77777777" w:rsidR="007A2655" w:rsidRDefault="007A2655" w:rsidP="00285DE5">
            <w:pPr>
              <w:jc w:val="center"/>
            </w:pPr>
          </w:p>
        </w:tc>
      </w:tr>
      <w:tr w:rsidR="00EE54E2" w14:paraId="4482B397" w14:textId="77777777" w:rsidTr="00EE54E2">
        <w:trPr>
          <w:trHeight w:val="9772"/>
        </w:trPr>
        <w:tc>
          <w:tcPr>
            <w:tcW w:w="762" w:type="dxa"/>
            <w:vMerge/>
          </w:tcPr>
          <w:p w14:paraId="652CDDF1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054B44BD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11</w:t>
            </w:r>
          </w:p>
        </w:tc>
        <w:tc>
          <w:tcPr>
            <w:tcW w:w="1036" w:type="dxa"/>
            <w:vAlign w:val="center"/>
          </w:tcPr>
          <w:p w14:paraId="3398C680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0703ED0D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752644">
              <w:rPr>
                <w:rFonts w:cstheme="minorHAnsi"/>
                <w:sz w:val="20"/>
              </w:rPr>
              <w:t>Colete de identificação personalizado, confeccionado em tecido leve e resistente (ex: poliéster), com faixas horizontais distribuídas da seguinte forma: faixa azul-marinho na parte inferior e superior, faixa branca central e, abaixo desta, faixa cinza em material refletivo, para garantir visibilidade em ambientes com pouca luz. Possui dois bolsos superiores com fechamento em zíper. Acima dos bolsos</w:t>
            </w:r>
            <w:r>
              <w:rPr>
                <w:rFonts w:cstheme="minorHAnsi"/>
                <w:sz w:val="20"/>
              </w:rPr>
              <w:t xml:space="preserve"> superiores</w:t>
            </w:r>
            <w:r w:rsidRPr="00752644">
              <w:rPr>
                <w:rFonts w:cstheme="minorHAnsi"/>
                <w:sz w:val="20"/>
              </w:rPr>
              <w:t>, área com velcro para fixação de tarjetas personalizadas, sendo: lado direito: tarjeta com o cargo funcional; lado esquerdo: tarjeta com o nome e fator sanguíneo</w:t>
            </w:r>
            <w:r>
              <w:rPr>
                <w:rFonts w:cstheme="minorHAnsi"/>
                <w:sz w:val="20"/>
              </w:rPr>
              <w:t xml:space="preserve">. </w:t>
            </w:r>
            <w:r>
              <w:t>A tarjeta deverá ter fundo preto, nome em letras maiúsculas brancas e fator sanguíneo em vermelho</w:t>
            </w:r>
            <w:r w:rsidRPr="00752644">
              <w:rPr>
                <w:rFonts w:cstheme="minorHAnsi"/>
                <w:sz w:val="20"/>
              </w:rPr>
              <w:t>. Conta ainda com dois bolsos inferiores com lapela. Na parte frontal: no bolso do lado direito (altura do peito), brasão de Nova Friburgo com a inscrição “NOVA FRIBURGO”; no bolso do lado esquerdo, a identificação “SECRETARIA DE SEGURANÇA E ORDEM PÚBLICA”. Na parte traseira, aplicação contendo: identificação “</w:t>
            </w:r>
            <w:r>
              <w:rPr>
                <w:rFonts w:cstheme="minorHAnsi"/>
                <w:sz w:val="20"/>
              </w:rPr>
              <w:t>SUBSECRETARIA DE POSTURA E FISCALIZAÇÃO DE ATIVIDADES ECONÔMICAS</w:t>
            </w:r>
            <w:r w:rsidRPr="00752644">
              <w:rPr>
                <w:rFonts w:cstheme="minorHAnsi"/>
                <w:sz w:val="20"/>
              </w:rPr>
              <w:t xml:space="preserve">”, </w:t>
            </w:r>
            <w:r>
              <w:rPr>
                <w:rFonts w:cstheme="minorHAnsi"/>
                <w:sz w:val="20"/>
              </w:rPr>
              <w:t>logo da Prefeitura de Nova Friburgo</w:t>
            </w:r>
            <w:r w:rsidRPr="00752644">
              <w:rPr>
                <w:rFonts w:cstheme="minorHAnsi"/>
                <w:sz w:val="20"/>
              </w:rPr>
              <w:t>, inscrição e, na parte inferior, “SECRETARIA DE SEGURANÇA E ORDEM PÚBLICA”</w:t>
            </w:r>
            <w:r>
              <w:rPr>
                <w:rFonts w:cstheme="minorHAnsi"/>
                <w:sz w:val="20"/>
              </w:rPr>
              <w:t xml:space="preserve">, </w:t>
            </w:r>
            <w:r w:rsidRPr="00641519">
              <w:rPr>
                <w:rFonts w:cstheme="minorHAnsi"/>
                <w:sz w:val="20"/>
              </w:rPr>
              <w:t>conforme layout ilustrativo anexo, de observância obrigatória, sendo vedadas alterações de cores, proporções, posicionamento ou tipografia</w:t>
            </w:r>
            <w:r>
              <w:rPr>
                <w:rFonts w:cstheme="minorHAnsi"/>
                <w:sz w:val="20"/>
              </w:rPr>
              <w:t>, tamanho M.</w:t>
            </w:r>
          </w:p>
        </w:tc>
        <w:tc>
          <w:tcPr>
            <w:tcW w:w="850" w:type="dxa"/>
          </w:tcPr>
          <w:p w14:paraId="3CA9C950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589CE7BD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1221" w:type="dxa"/>
            <w:vAlign w:val="center"/>
          </w:tcPr>
          <w:p w14:paraId="16732A29" w14:textId="22C03822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5B251AF8" w14:textId="5302854A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39887F26" w14:textId="77777777" w:rsidR="007A2655" w:rsidRDefault="007A2655" w:rsidP="00285DE5">
            <w:pPr>
              <w:jc w:val="center"/>
            </w:pPr>
          </w:p>
        </w:tc>
      </w:tr>
      <w:tr w:rsidR="00EE54E2" w14:paraId="1EC551B4" w14:textId="77777777" w:rsidTr="00EE54E2">
        <w:trPr>
          <w:trHeight w:val="413"/>
        </w:trPr>
        <w:tc>
          <w:tcPr>
            <w:tcW w:w="762" w:type="dxa"/>
            <w:vMerge/>
          </w:tcPr>
          <w:p w14:paraId="65307913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0FA1CA36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12</w:t>
            </w:r>
          </w:p>
        </w:tc>
        <w:tc>
          <w:tcPr>
            <w:tcW w:w="1036" w:type="dxa"/>
            <w:vAlign w:val="center"/>
          </w:tcPr>
          <w:p w14:paraId="4CD73A34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77E0CCC1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 xml:space="preserve">Idem ao item </w:t>
            </w:r>
            <w:r>
              <w:rPr>
                <w:rFonts w:cstheme="minorHAnsi"/>
                <w:sz w:val="20"/>
              </w:rPr>
              <w:t>11</w:t>
            </w:r>
            <w:r w:rsidRPr="00F70ABF">
              <w:rPr>
                <w:rFonts w:cstheme="minorHAnsi"/>
                <w:sz w:val="20"/>
              </w:rPr>
              <w:t xml:space="preserve">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>tamanho G.</w:t>
            </w:r>
          </w:p>
        </w:tc>
        <w:tc>
          <w:tcPr>
            <w:tcW w:w="850" w:type="dxa"/>
          </w:tcPr>
          <w:p w14:paraId="061C0F96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7D8EB08D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1221" w:type="dxa"/>
            <w:vAlign w:val="center"/>
          </w:tcPr>
          <w:p w14:paraId="661800DD" w14:textId="142AF297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41E61100" w14:textId="43364612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32270A5D" w14:textId="77777777" w:rsidR="007A2655" w:rsidRDefault="007A2655" w:rsidP="00285DE5">
            <w:pPr>
              <w:jc w:val="center"/>
            </w:pPr>
          </w:p>
        </w:tc>
      </w:tr>
      <w:tr w:rsidR="00EE54E2" w14:paraId="7B661D9C" w14:textId="77777777" w:rsidTr="00EE54E2">
        <w:trPr>
          <w:trHeight w:val="420"/>
        </w:trPr>
        <w:tc>
          <w:tcPr>
            <w:tcW w:w="762" w:type="dxa"/>
            <w:vMerge/>
          </w:tcPr>
          <w:p w14:paraId="12DC178C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20800F55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13</w:t>
            </w:r>
          </w:p>
        </w:tc>
        <w:tc>
          <w:tcPr>
            <w:tcW w:w="1036" w:type="dxa"/>
            <w:vAlign w:val="center"/>
          </w:tcPr>
          <w:p w14:paraId="6BD8EF91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7C6B76A6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 xml:space="preserve">Idem ao item </w:t>
            </w:r>
            <w:r>
              <w:rPr>
                <w:rFonts w:cstheme="minorHAnsi"/>
                <w:sz w:val="20"/>
              </w:rPr>
              <w:t>11</w:t>
            </w:r>
            <w:r w:rsidRPr="00F70ABF">
              <w:rPr>
                <w:rFonts w:cstheme="minorHAnsi"/>
                <w:sz w:val="20"/>
              </w:rPr>
              <w:t xml:space="preserve">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 xml:space="preserve">tamanho </w:t>
            </w:r>
            <w:r>
              <w:rPr>
                <w:rFonts w:cstheme="minorHAnsi"/>
                <w:sz w:val="20"/>
              </w:rPr>
              <w:t>GG.</w:t>
            </w:r>
          </w:p>
        </w:tc>
        <w:tc>
          <w:tcPr>
            <w:tcW w:w="850" w:type="dxa"/>
            <w:vAlign w:val="center"/>
          </w:tcPr>
          <w:p w14:paraId="41B3AA94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24A3B560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</w:p>
        </w:tc>
        <w:tc>
          <w:tcPr>
            <w:tcW w:w="1221" w:type="dxa"/>
            <w:vAlign w:val="center"/>
          </w:tcPr>
          <w:p w14:paraId="3771F3E6" w14:textId="4D30BB68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29A69818" w14:textId="4EA93A5C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7725ACE1" w14:textId="77777777" w:rsidR="007A2655" w:rsidRDefault="007A2655" w:rsidP="00285DE5">
            <w:pPr>
              <w:jc w:val="center"/>
            </w:pPr>
          </w:p>
        </w:tc>
      </w:tr>
      <w:tr w:rsidR="00EE54E2" w14:paraId="38B3C268" w14:textId="77777777" w:rsidTr="00EE54E2">
        <w:trPr>
          <w:trHeight w:val="553"/>
        </w:trPr>
        <w:tc>
          <w:tcPr>
            <w:tcW w:w="762" w:type="dxa"/>
            <w:vMerge/>
          </w:tcPr>
          <w:p w14:paraId="178ADCD7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4546DEA0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14</w:t>
            </w:r>
          </w:p>
        </w:tc>
        <w:tc>
          <w:tcPr>
            <w:tcW w:w="1036" w:type="dxa"/>
            <w:vAlign w:val="center"/>
          </w:tcPr>
          <w:p w14:paraId="4AD774A5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46A2B396" w14:textId="77777777" w:rsidR="007A2655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 xml:space="preserve">Idem ao item </w:t>
            </w:r>
            <w:r>
              <w:rPr>
                <w:rFonts w:cstheme="minorHAnsi"/>
                <w:sz w:val="20"/>
              </w:rPr>
              <w:t>11</w:t>
            </w:r>
            <w:r w:rsidRPr="00F70ABF">
              <w:rPr>
                <w:rFonts w:cstheme="minorHAnsi"/>
                <w:sz w:val="20"/>
              </w:rPr>
              <w:t xml:space="preserve">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 xml:space="preserve">tamanho </w:t>
            </w:r>
            <w:r>
              <w:rPr>
                <w:rFonts w:cstheme="minorHAnsi"/>
                <w:sz w:val="20"/>
              </w:rPr>
              <w:t>XXG.</w:t>
            </w:r>
          </w:p>
        </w:tc>
        <w:tc>
          <w:tcPr>
            <w:tcW w:w="850" w:type="dxa"/>
            <w:vAlign w:val="center"/>
          </w:tcPr>
          <w:p w14:paraId="6AD04C91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54165707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</w:t>
            </w:r>
          </w:p>
        </w:tc>
        <w:tc>
          <w:tcPr>
            <w:tcW w:w="1221" w:type="dxa"/>
            <w:vAlign w:val="center"/>
          </w:tcPr>
          <w:p w14:paraId="78158739" w14:textId="45704083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6CF1942F" w14:textId="61925268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0ACEC04B" w14:textId="77777777" w:rsidR="007A2655" w:rsidRDefault="007A2655" w:rsidP="00285DE5">
            <w:pPr>
              <w:jc w:val="center"/>
            </w:pPr>
          </w:p>
        </w:tc>
      </w:tr>
      <w:tr w:rsidR="00EE54E2" w14:paraId="7F446F2A" w14:textId="77777777" w:rsidTr="00EE54E2">
        <w:trPr>
          <w:trHeight w:val="9274"/>
        </w:trPr>
        <w:tc>
          <w:tcPr>
            <w:tcW w:w="762" w:type="dxa"/>
            <w:vMerge/>
          </w:tcPr>
          <w:p w14:paraId="6335DC5B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24538154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15</w:t>
            </w:r>
          </w:p>
        </w:tc>
        <w:tc>
          <w:tcPr>
            <w:tcW w:w="1036" w:type="dxa"/>
            <w:vAlign w:val="center"/>
          </w:tcPr>
          <w:p w14:paraId="32952711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1F088FD1" w14:textId="77777777" w:rsidR="007A2655" w:rsidRPr="00F70ABF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752644">
              <w:rPr>
                <w:rFonts w:cstheme="minorHAnsi"/>
                <w:sz w:val="20"/>
              </w:rPr>
              <w:t>Colete de identificação personalizado, confeccionado em tecido leve e resistente (ex: poliéster), com faixas horizontais distribuídas da seguinte forma: faixa azul-marinho na parte inferior e superior, faixa branca central e, abaixo desta, faixa cinza em material refletivo, para garantir visibilidade em ambientes com pouca luz. Possui dois bolsos superiores com fechamento em zíper. Acima dos bolsos</w:t>
            </w:r>
            <w:r>
              <w:rPr>
                <w:rFonts w:cstheme="minorHAnsi"/>
                <w:sz w:val="20"/>
              </w:rPr>
              <w:t xml:space="preserve"> superiores</w:t>
            </w:r>
            <w:r w:rsidRPr="00752644">
              <w:rPr>
                <w:rFonts w:cstheme="minorHAnsi"/>
                <w:sz w:val="20"/>
              </w:rPr>
              <w:t>, área com velcro para fixação de tarjetas personalizadas, sendo: lado direito: tarjeta com o cargo funcional; lado esquerdo: tarjeta com o nome e fator sanguíneo</w:t>
            </w:r>
            <w:r>
              <w:rPr>
                <w:rFonts w:cstheme="minorHAnsi"/>
                <w:sz w:val="20"/>
              </w:rPr>
              <w:t xml:space="preserve">. </w:t>
            </w:r>
            <w:r>
              <w:t>A tarjeta deverá ter fundo preto, nome em letras maiúsculas brancas e fator sanguíneo em vermelho</w:t>
            </w:r>
            <w:r w:rsidRPr="00752644">
              <w:rPr>
                <w:rFonts w:cstheme="minorHAnsi"/>
                <w:sz w:val="20"/>
              </w:rPr>
              <w:t>. Conta ainda com dois bolsos inferiores com lapela. Na parte frontal: no bolso do lado direito (altura do peito), brasão de Nova Friburgo com a inscrição “NOVA FRIBURGO”; no bolso do lado esquerdo, a identificação “SECRETARIA DE SEGURANÇA E ORDEM PÚBLICA”. Na parte traseira, aplicação contendo: identificação “</w:t>
            </w:r>
            <w:r>
              <w:rPr>
                <w:rFonts w:cstheme="minorHAnsi"/>
                <w:sz w:val="20"/>
              </w:rPr>
              <w:t>SESOP</w:t>
            </w:r>
            <w:r w:rsidRPr="00752644">
              <w:rPr>
                <w:rFonts w:cstheme="minorHAnsi"/>
                <w:sz w:val="20"/>
              </w:rPr>
              <w:t xml:space="preserve">”, </w:t>
            </w:r>
            <w:r>
              <w:rPr>
                <w:rFonts w:cstheme="minorHAnsi"/>
                <w:sz w:val="20"/>
              </w:rPr>
              <w:t>logo da Prefeitura de Nova Friburgo</w:t>
            </w:r>
            <w:r w:rsidRPr="00752644">
              <w:rPr>
                <w:rFonts w:cstheme="minorHAnsi"/>
                <w:sz w:val="20"/>
              </w:rPr>
              <w:t>, inscrição e, na parte inferior, “SECRETARIA DE SEGURANÇA E ORDEM PÚBLICA”</w:t>
            </w:r>
            <w:r>
              <w:rPr>
                <w:rFonts w:cstheme="minorHAnsi"/>
                <w:sz w:val="20"/>
              </w:rPr>
              <w:t xml:space="preserve">, </w:t>
            </w:r>
            <w:r w:rsidRPr="00641519">
              <w:rPr>
                <w:rFonts w:cstheme="minorHAnsi"/>
                <w:sz w:val="20"/>
              </w:rPr>
              <w:t>conforme layout ilustrativo anexo, de observância obrigatória, sendo vedadas alterações de cores, proporções, posicionamento ou tipografia</w:t>
            </w:r>
            <w:r>
              <w:rPr>
                <w:rFonts w:cstheme="minorHAnsi"/>
                <w:sz w:val="20"/>
              </w:rPr>
              <w:t xml:space="preserve">, tamanho M. </w:t>
            </w:r>
          </w:p>
        </w:tc>
        <w:tc>
          <w:tcPr>
            <w:tcW w:w="850" w:type="dxa"/>
            <w:vAlign w:val="center"/>
          </w:tcPr>
          <w:p w14:paraId="26821A32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6833BEC3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</w:p>
        </w:tc>
        <w:tc>
          <w:tcPr>
            <w:tcW w:w="1221" w:type="dxa"/>
            <w:vAlign w:val="center"/>
          </w:tcPr>
          <w:p w14:paraId="242A2D70" w14:textId="6F6B3BA7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011DD910" w14:textId="7E67CE88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711CF734" w14:textId="77777777" w:rsidR="007A2655" w:rsidRDefault="007A2655" w:rsidP="00285DE5">
            <w:pPr>
              <w:jc w:val="center"/>
            </w:pPr>
          </w:p>
        </w:tc>
      </w:tr>
      <w:tr w:rsidR="00EE54E2" w14:paraId="1F6DCEF4" w14:textId="77777777" w:rsidTr="00EE54E2">
        <w:trPr>
          <w:trHeight w:val="560"/>
        </w:trPr>
        <w:tc>
          <w:tcPr>
            <w:tcW w:w="762" w:type="dxa"/>
            <w:vMerge/>
          </w:tcPr>
          <w:p w14:paraId="7F698B93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0F1C8735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16</w:t>
            </w:r>
          </w:p>
        </w:tc>
        <w:tc>
          <w:tcPr>
            <w:tcW w:w="1036" w:type="dxa"/>
            <w:vAlign w:val="center"/>
          </w:tcPr>
          <w:p w14:paraId="547BB905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2975DA92" w14:textId="77777777" w:rsidR="007A2655" w:rsidRPr="00F70ABF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 xml:space="preserve">Idem ao item </w:t>
            </w:r>
            <w:r>
              <w:rPr>
                <w:rFonts w:cstheme="minorHAnsi"/>
                <w:sz w:val="20"/>
              </w:rPr>
              <w:t>15</w:t>
            </w:r>
            <w:r w:rsidRPr="00F70ABF">
              <w:rPr>
                <w:rFonts w:cstheme="minorHAnsi"/>
                <w:sz w:val="20"/>
              </w:rPr>
              <w:t xml:space="preserve">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>tamanho G.</w:t>
            </w:r>
          </w:p>
        </w:tc>
        <w:tc>
          <w:tcPr>
            <w:tcW w:w="850" w:type="dxa"/>
            <w:vAlign w:val="center"/>
          </w:tcPr>
          <w:p w14:paraId="294EE024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51F99B65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</w:p>
        </w:tc>
        <w:tc>
          <w:tcPr>
            <w:tcW w:w="1221" w:type="dxa"/>
            <w:vAlign w:val="center"/>
          </w:tcPr>
          <w:p w14:paraId="6FCB551E" w14:textId="45529866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668D6186" w14:textId="7FDC666E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58E334CF" w14:textId="77777777" w:rsidR="007A2655" w:rsidRDefault="007A2655" w:rsidP="00285DE5">
            <w:pPr>
              <w:jc w:val="center"/>
            </w:pPr>
          </w:p>
        </w:tc>
      </w:tr>
      <w:tr w:rsidR="00EE54E2" w14:paraId="4E6B95CD" w14:textId="77777777" w:rsidTr="00EE54E2">
        <w:trPr>
          <w:trHeight w:val="566"/>
        </w:trPr>
        <w:tc>
          <w:tcPr>
            <w:tcW w:w="762" w:type="dxa"/>
            <w:vMerge/>
          </w:tcPr>
          <w:p w14:paraId="52A933BE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4032D657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17</w:t>
            </w:r>
          </w:p>
        </w:tc>
        <w:tc>
          <w:tcPr>
            <w:tcW w:w="1036" w:type="dxa"/>
            <w:vAlign w:val="center"/>
          </w:tcPr>
          <w:p w14:paraId="7955AB08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668F5388" w14:textId="77777777" w:rsidR="007A2655" w:rsidRPr="00F70ABF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 xml:space="preserve">Idem ao item </w:t>
            </w:r>
            <w:r>
              <w:rPr>
                <w:rFonts w:cstheme="minorHAnsi"/>
                <w:sz w:val="20"/>
              </w:rPr>
              <w:t>15</w:t>
            </w:r>
            <w:r w:rsidRPr="00F70ABF">
              <w:rPr>
                <w:rFonts w:cstheme="minorHAnsi"/>
                <w:sz w:val="20"/>
              </w:rPr>
              <w:t xml:space="preserve">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 xml:space="preserve">tamanho </w:t>
            </w:r>
            <w:r>
              <w:rPr>
                <w:rFonts w:cstheme="minorHAnsi"/>
                <w:sz w:val="20"/>
              </w:rPr>
              <w:t>G</w:t>
            </w:r>
            <w:r w:rsidRPr="00F70ABF">
              <w:rPr>
                <w:rFonts w:cstheme="minorHAnsi"/>
                <w:sz w:val="20"/>
              </w:rPr>
              <w:t>G.</w:t>
            </w:r>
          </w:p>
        </w:tc>
        <w:tc>
          <w:tcPr>
            <w:tcW w:w="850" w:type="dxa"/>
            <w:vAlign w:val="center"/>
          </w:tcPr>
          <w:p w14:paraId="23846B8A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2A1E4C86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</w:t>
            </w:r>
          </w:p>
        </w:tc>
        <w:tc>
          <w:tcPr>
            <w:tcW w:w="1221" w:type="dxa"/>
            <w:vAlign w:val="center"/>
          </w:tcPr>
          <w:p w14:paraId="676A7DC7" w14:textId="733F80F2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7B6837F8" w14:textId="0CAD6670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68382EE2" w14:textId="77777777" w:rsidR="007A2655" w:rsidRDefault="007A2655" w:rsidP="00285DE5">
            <w:pPr>
              <w:jc w:val="center"/>
            </w:pPr>
          </w:p>
        </w:tc>
      </w:tr>
      <w:tr w:rsidR="00EE54E2" w14:paraId="1220AB90" w14:textId="77777777" w:rsidTr="00EE54E2">
        <w:trPr>
          <w:trHeight w:val="700"/>
        </w:trPr>
        <w:tc>
          <w:tcPr>
            <w:tcW w:w="762" w:type="dxa"/>
            <w:vMerge/>
          </w:tcPr>
          <w:p w14:paraId="105EC36D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1E7BD9EF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18</w:t>
            </w:r>
          </w:p>
        </w:tc>
        <w:tc>
          <w:tcPr>
            <w:tcW w:w="1036" w:type="dxa"/>
            <w:vAlign w:val="center"/>
          </w:tcPr>
          <w:p w14:paraId="1064552F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742497C1" w14:textId="77777777" w:rsidR="007A2655" w:rsidRPr="00F70ABF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F70ABF">
              <w:rPr>
                <w:rFonts w:cstheme="minorHAnsi"/>
                <w:sz w:val="20"/>
              </w:rPr>
              <w:t xml:space="preserve">Idem ao item </w:t>
            </w:r>
            <w:r>
              <w:rPr>
                <w:rFonts w:cstheme="minorHAnsi"/>
                <w:sz w:val="20"/>
              </w:rPr>
              <w:t>15</w:t>
            </w:r>
            <w:r w:rsidRPr="00F70ABF">
              <w:rPr>
                <w:rFonts w:cstheme="minorHAnsi"/>
                <w:sz w:val="20"/>
              </w:rPr>
              <w:t xml:space="preserve">, </w:t>
            </w:r>
            <w:r>
              <w:rPr>
                <w:rFonts w:cstheme="minorHAnsi"/>
                <w:sz w:val="20"/>
              </w:rPr>
              <w:t xml:space="preserve">mas </w:t>
            </w:r>
            <w:r w:rsidRPr="00F70ABF">
              <w:rPr>
                <w:rFonts w:cstheme="minorHAnsi"/>
                <w:sz w:val="20"/>
              </w:rPr>
              <w:t xml:space="preserve">tamanho </w:t>
            </w:r>
            <w:r>
              <w:rPr>
                <w:rFonts w:cstheme="minorHAnsi"/>
                <w:sz w:val="20"/>
              </w:rPr>
              <w:t>XXG.</w:t>
            </w:r>
          </w:p>
        </w:tc>
        <w:tc>
          <w:tcPr>
            <w:tcW w:w="850" w:type="dxa"/>
            <w:vAlign w:val="center"/>
          </w:tcPr>
          <w:p w14:paraId="3ADEC358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0EF8E71B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</w:t>
            </w:r>
          </w:p>
        </w:tc>
        <w:tc>
          <w:tcPr>
            <w:tcW w:w="1221" w:type="dxa"/>
            <w:vAlign w:val="center"/>
          </w:tcPr>
          <w:p w14:paraId="7DC6AC01" w14:textId="273A2960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49C1A137" w14:textId="6642AED6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2452A8C1" w14:textId="77777777" w:rsidR="007A2655" w:rsidRDefault="007A2655" w:rsidP="00285DE5">
            <w:pPr>
              <w:jc w:val="center"/>
            </w:pPr>
          </w:p>
        </w:tc>
      </w:tr>
      <w:tr w:rsidR="00EE54E2" w14:paraId="567D6A1F" w14:textId="77777777" w:rsidTr="00EE54E2">
        <w:trPr>
          <w:trHeight w:val="2746"/>
        </w:trPr>
        <w:tc>
          <w:tcPr>
            <w:tcW w:w="762" w:type="dxa"/>
            <w:vMerge/>
          </w:tcPr>
          <w:p w14:paraId="0A6276AD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</w:p>
        </w:tc>
        <w:tc>
          <w:tcPr>
            <w:tcW w:w="755" w:type="dxa"/>
            <w:vAlign w:val="center"/>
          </w:tcPr>
          <w:p w14:paraId="7E6F89A2" w14:textId="77777777" w:rsidR="007A2655" w:rsidRDefault="007A2655" w:rsidP="00285DE5">
            <w:pPr>
              <w:jc w:val="center"/>
              <w:rPr>
                <w:rFonts w:cstheme="minorHAnsi"/>
                <w:b/>
                <w:bCs/>
                <w:szCs w:val="32"/>
              </w:rPr>
            </w:pPr>
            <w:r>
              <w:rPr>
                <w:rFonts w:cstheme="minorHAnsi"/>
                <w:b/>
                <w:bCs/>
                <w:szCs w:val="32"/>
              </w:rPr>
              <w:t>19</w:t>
            </w:r>
          </w:p>
        </w:tc>
        <w:tc>
          <w:tcPr>
            <w:tcW w:w="1036" w:type="dxa"/>
            <w:vAlign w:val="center"/>
          </w:tcPr>
          <w:p w14:paraId="1800144C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t>326856</w:t>
            </w:r>
          </w:p>
        </w:tc>
        <w:tc>
          <w:tcPr>
            <w:tcW w:w="3260" w:type="dxa"/>
            <w:vAlign w:val="center"/>
          </w:tcPr>
          <w:p w14:paraId="5617789B" w14:textId="77777777" w:rsidR="007A2655" w:rsidRPr="00F70ABF" w:rsidRDefault="007A2655" w:rsidP="007A2655">
            <w:pPr>
              <w:ind w:left="0" w:firstLine="0"/>
              <w:rPr>
                <w:rFonts w:cstheme="minorHAnsi"/>
                <w:sz w:val="20"/>
              </w:rPr>
            </w:pPr>
            <w:r w:rsidRPr="001B2CDC">
              <w:rPr>
                <w:rFonts w:cstheme="minorHAnsi"/>
                <w:sz w:val="20"/>
              </w:rPr>
              <w:t>Reserva técnica de coletes personalizados conforme itens 0</w:t>
            </w:r>
            <w:r>
              <w:rPr>
                <w:rFonts w:cstheme="minorHAnsi"/>
                <w:sz w:val="20"/>
              </w:rPr>
              <w:t>7</w:t>
            </w:r>
            <w:r w:rsidRPr="001B2CDC">
              <w:rPr>
                <w:rFonts w:cstheme="minorHAnsi"/>
                <w:sz w:val="20"/>
              </w:rPr>
              <w:t xml:space="preserve"> a 1</w:t>
            </w:r>
            <w:r>
              <w:rPr>
                <w:rFonts w:cstheme="minorHAnsi"/>
                <w:sz w:val="20"/>
              </w:rPr>
              <w:t>8</w:t>
            </w:r>
            <w:r w:rsidRPr="001B2CDC">
              <w:rPr>
                <w:rFonts w:cstheme="minorHAnsi"/>
                <w:sz w:val="20"/>
              </w:rPr>
              <w:t>, equivalente a 20% do total contratado para este grupo (4 unidades). A definição de tamanhos e da identificação do setor (SESOP, Postura ou Cidade Inteligente) será realizada conforme necessidade da Administração, para reposição ou atendimento de novas demandas durante a vigência contratual.</w:t>
            </w:r>
          </w:p>
        </w:tc>
        <w:tc>
          <w:tcPr>
            <w:tcW w:w="850" w:type="dxa"/>
            <w:vAlign w:val="center"/>
          </w:tcPr>
          <w:p w14:paraId="5D7AB9B5" w14:textId="77777777" w:rsidR="007A2655" w:rsidRDefault="007A2655" w:rsidP="00285DE5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unidade</w:t>
            </w:r>
          </w:p>
        </w:tc>
        <w:tc>
          <w:tcPr>
            <w:tcW w:w="773" w:type="dxa"/>
            <w:vAlign w:val="center"/>
          </w:tcPr>
          <w:p w14:paraId="48334812" w14:textId="77777777" w:rsidR="007A2655" w:rsidRDefault="007A2655" w:rsidP="00285DE5">
            <w:pPr>
              <w:keepNext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</w:t>
            </w:r>
          </w:p>
        </w:tc>
        <w:tc>
          <w:tcPr>
            <w:tcW w:w="1221" w:type="dxa"/>
            <w:vAlign w:val="center"/>
          </w:tcPr>
          <w:p w14:paraId="7260A2EB" w14:textId="5109F07E" w:rsidR="007A2655" w:rsidRDefault="007A2655" w:rsidP="00285DE5">
            <w:pPr>
              <w:jc w:val="center"/>
            </w:pPr>
          </w:p>
        </w:tc>
        <w:tc>
          <w:tcPr>
            <w:tcW w:w="922" w:type="dxa"/>
            <w:vAlign w:val="center"/>
          </w:tcPr>
          <w:p w14:paraId="0056FD0C" w14:textId="7D521559" w:rsidR="007A2655" w:rsidRDefault="007A2655" w:rsidP="00285DE5">
            <w:pPr>
              <w:jc w:val="center"/>
            </w:pPr>
          </w:p>
        </w:tc>
        <w:tc>
          <w:tcPr>
            <w:tcW w:w="1337" w:type="dxa"/>
            <w:vMerge/>
          </w:tcPr>
          <w:p w14:paraId="24366996" w14:textId="77777777" w:rsidR="007A2655" w:rsidRDefault="007A2655" w:rsidP="00285DE5">
            <w:pPr>
              <w:jc w:val="center"/>
            </w:pPr>
          </w:p>
        </w:tc>
      </w:tr>
      <w:tr w:rsidR="007A2655" w14:paraId="20A980FB" w14:textId="77777777" w:rsidTr="00EE54E2">
        <w:trPr>
          <w:trHeight w:val="417"/>
        </w:trPr>
        <w:tc>
          <w:tcPr>
            <w:tcW w:w="10916" w:type="dxa"/>
            <w:gridSpan w:val="9"/>
          </w:tcPr>
          <w:p w14:paraId="245D0C31" w14:textId="055BE0AD" w:rsidR="007A2655" w:rsidRPr="00B30E2D" w:rsidRDefault="007A2655" w:rsidP="00285DE5">
            <w:pPr>
              <w:jc w:val="right"/>
              <w:rPr>
                <w:b/>
                <w:bCs/>
              </w:rPr>
            </w:pPr>
          </w:p>
        </w:tc>
      </w:tr>
    </w:tbl>
    <w:p w14:paraId="21C5D41C" w14:textId="77777777" w:rsidR="007A2655" w:rsidRDefault="007A2655" w:rsidP="007A2655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3F2E4F6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7935459A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BBC217B" w14:textId="77777777" w:rsidR="00006B6A" w:rsidRDefault="00006B6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C7313B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F45329">
        <w:rPr>
          <w:rFonts w:ascii="Azo Sans Lt" w:hAnsi="Azo Sans Lt" w:cstheme="minorHAnsi"/>
          <w:sz w:val="20"/>
        </w:rPr>
        <w:t>6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6FE3FA6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2DC7CB4" w14:textId="69F21096" w:rsidR="007012BB" w:rsidRDefault="007012B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6734873" w14:textId="77777777" w:rsidR="00EE54E2" w:rsidRDefault="00EE54E2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8D90" w14:textId="77777777" w:rsidR="00595327" w:rsidRDefault="00595327" w:rsidP="007A67F8">
      <w:r>
        <w:separator/>
      </w:r>
    </w:p>
  </w:endnote>
  <w:endnote w:type="continuationSeparator" w:id="0">
    <w:p w14:paraId="75B79604" w14:textId="77777777" w:rsidR="00595327" w:rsidRDefault="0059532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6437" w14:textId="77777777" w:rsidR="00595327" w:rsidRDefault="00595327" w:rsidP="007A67F8">
      <w:r>
        <w:separator/>
      </w:r>
    </w:p>
  </w:footnote>
  <w:footnote w:type="continuationSeparator" w:id="0">
    <w:p w14:paraId="4B86B8FF" w14:textId="77777777" w:rsidR="00595327" w:rsidRDefault="0059532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7A60EFF5" w:rsidR="00B9001F" w:rsidRDefault="00F45329" w:rsidP="00F45329">
    <w:pPr>
      <w:pStyle w:val="Cabealho"/>
      <w:ind w:left="-284" w:firstLine="0"/>
    </w:pP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rPr>
        <w:noProof/>
      </w:rPr>
      <w:drawing>
        <wp:inline distT="0" distB="0" distL="0" distR="0" wp14:anchorId="73E28003" wp14:editId="61CB9235">
          <wp:extent cx="6158717" cy="1017767"/>
          <wp:effectExtent l="0" t="0" r="0" b="0"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m 18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8435" cy="1027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53208E"/>
    <w:multiLevelType w:val="multilevel"/>
    <w:tmpl w:val="0053208E"/>
    <w:lvl w:ilvl="0">
      <w:numFmt w:val="bullet"/>
      <w:lvlText w:val="-"/>
      <w:lvlJc w:val="left"/>
      <w:pPr>
        <w:ind w:left="832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0"/>
        <w:w w:val="100"/>
        <w:sz w:val="20"/>
        <w:szCs w:val="20"/>
        <w:lang w:val="pt-PT" w:eastAsia="en-US" w:bidi="ar-SA"/>
      </w:rPr>
    </w:lvl>
    <w:lvl w:ilvl="1">
      <w:numFmt w:val="bullet"/>
      <w:lvlText w:val="•"/>
      <w:lvlJc w:val="left"/>
      <w:pPr>
        <w:ind w:left="1480" w:hanging="360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212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6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0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40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80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20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960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B6A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B0D15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3649E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1471"/>
    <w:rsid w:val="00436D32"/>
    <w:rsid w:val="00444607"/>
    <w:rsid w:val="00446624"/>
    <w:rsid w:val="004478A8"/>
    <w:rsid w:val="004826FB"/>
    <w:rsid w:val="00495CE0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95327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12BB"/>
    <w:rsid w:val="0070659C"/>
    <w:rsid w:val="00707095"/>
    <w:rsid w:val="007075AC"/>
    <w:rsid w:val="007147CD"/>
    <w:rsid w:val="00720054"/>
    <w:rsid w:val="00723E9F"/>
    <w:rsid w:val="00742092"/>
    <w:rsid w:val="00752515"/>
    <w:rsid w:val="00757FAA"/>
    <w:rsid w:val="00761CB5"/>
    <w:rsid w:val="00765D44"/>
    <w:rsid w:val="007712B4"/>
    <w:rsid w:val="00775BE3"/>
    <w:rsid w:val="00796C24"/>
    <w:rsid w:val="007A2655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55034"/>
    <w:rsid w:val="0096791A"/>
    <w:rsid w:val="00974A2C"/>
    <w:rsid w:val="00975FFB"/>
    <w:rsid w:val="009910CF"/>
    <w:rsid w:val="00993C38"/>
    <w:rsid w:val="009969BC"/>
    <w:rsid w:val="00997ED5"/>
    <w:rsid w:val="009A62B7"/>
    <w:rsid w:val="009F3577"/>
    <w:rsid w:val="00A019B3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84814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33C87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40700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07BBB"/>
    <w:rsid w:val="00E24D7B"/>
    <w:rsid w:val="00E27483"/>
    <w:rsid w:val="00E27EFD"/>
    <w:rsid w:val="00E30886"/>
    <w:rsid w:val="00E30AE4"/>
    <w:rsid w:val="00E347BD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EE54E2"/>
    <w:rsid w:val="00F233D1"/>
    <w:rsid w:val="00F277F2"/>
    <w:rsid w:val="00F427A1"/>
    <w:rsid w:val="00F45329"/>
    <w:rsid w:val="00F52153"/>
    <w:rsid w:val="00F62D1C"/>
    <w:rsid w:val="00F802BC"/>
    <w:rsid w:val="00F87E9F"/>
    <w:rsid w:val="00F93B76"/>
    <w:rsid w:val="00F94146"/>
    <w:rsid w:val="00FA5EC1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1292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141</cp:revision>
  <cp:lastPrinted>2025-02-21T19:01:00Z</cp:lastPrinted>
  <dcterms:created xsi:type="dcterms:W3CDTF">2021-05-27T14:26:00Z</dcterms:created>
  <dcterms:modified xsi:type="dcterms:W3CDTF">2026-01-09T18:45:00Z</dcterms:modified>
</cp:coreProperties>
</file>